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4247D4F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</w:t>
      </w:r>
      <w:proofErr w:type="gramStart"/>
      <w:r w:rsidR="001C390B" w:rsidRPr="007C3CC3">
        <w:rPr>
          <w:sz w:val="32"/>
          <w:szCs w:val="32"/>
        </w:rPr>
        <w:t>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413637">
        <w:rPr>
          <w:sz w:val="32"/>
          <w:szCs w:val="32"/>
        </w:rPr>
        <w:t>5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9274BC">
        <w:rPr>
          <w:sz w:val="32"/>
          <w:szCs w:val="32"/>
        </w:rPr>
        <w:t>2</w:t>
      </w:r>
      <w:proofErr w:type="gramEnd"/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7BAD3D5C" w:rsidR="008A29C0" w:rsidRPr="007C3CC3" w:rsidRDefault="001C390B" w:rsidP="00FE0D5C">
      <w:pPr>
        <w:jc w:val="center"/>
        <w:rPr>
          <w:szCs w:val="20"/>
        </w:rPr>
      </w:pPr>
      <w:r w:rsidRPr="00EA6AFC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93DC7AA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proofErr w:type="gramStart"/>
                  <w:r w:rsidR="00AD7012" w:rsidRPr="007C3CC3">
                    <w:rPr>
                      <w:lang w:eastAsia="cs-CZ"/>
                    </w:rPr>
                    <w:t>02.</w:t>
                  </w:r>
                  <w:r w:rsidR="00CF6CA1">
                    <w:rPr>
                      <w:lang w:eastAsia="cs-CZ"/>
                    </w:rPr>
                    <w:t>05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CF6CA1">
                    <w:rPr>
                      <w:lang w:eastAsia="cs-CZ"/>
                    </w:rPr>
                    <w:t>0</w:t>
                  </w:r>
                  <w:r w:rsidR="00CD20B9" w:rsidRPr="007C3CC3">
                    <w:rPr>
                      <w:lang w:eastAsia="cs-CZ"/>
                    </w:rPr>
                    <w:t>2</w:t>
                  </w:r>
                  <w:proofErr w:type="gramEnd"/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C23B73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7767BDAE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7E2F4B46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E9744C8" w:rsidR="008A29C0" w:rsidRPr="007C3CC3" w:rsidRDefault="00EA6AFC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>
                    <w:rPr>
                      <w:lang w:eastAsia="cs-CZ"/>
                    </w:rPr>
                    <w:t>Stacho Břetislav</w:t>
                  </w:r>
                  <w:r w:rsidR="001C390B" w:rsidRPr="00EA6AFC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5A784A34" w14:textId="7E1FA045" w:rsidR="008D3C88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210" w:history="1">
        <w:r w:rsidR="008D3C88" w:rsidRPr="00FE5AFE">
          <w:rPr>
            <w:rStyle w:val="Hyperlink"/>
            <w:noProof/>
          </w:rPr>
          <w:t>D.1</w:t>
        </w:r>
        <w:r w:rsidR="008D3C8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OBECNÝ POPIS NAPÁJENÍ TECHNOLOGIÍ A MaR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_Toc55308210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3</w:t>
        </w:r>
        <w:r w:rsidR="008D3C88">
          <w:rPr>
            <w:noProof/>
            <w:webHidden/>
          </w:rPr>
          <w:fldChar w:fldCharType="end"/>
        </w:r>
      </w:hyperlink>
    </w:p>
    <w:p w14:paraId="53C387C7" w14:textId="6192B941" w:rsidR="008D3C88" w:rsidRDefault="00CE469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11" w:history="1">
        <w:r w:rsidR="008D3C88" w:rsidRPr="00FE5AFE">
          <w:rPr>
            <w:rStyle w:val="Hyperlink"/>
            <w:noProof/>
          </w:rPr>
          <w:t>D.1.1</w:t>
        </w:r>
        <w:r w:rsidR="008D3C8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Obecné vybavení skříňových rozvaděčů: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_Toc55308211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4</w:t>
        </w:r>
        <w:r w:rsidR="008D3C88">
          <w:rPr>
            <w:noProof/>
            <w:webHidden/>
          </w:rPr>
          <w:fldChar w:fldCharType="end"/>
        </w:r>
      </w:hyperlink>
    </w:p>
    <w:p w14:paraId="0F3CC3CC" w14:textId="7FE1C93A" w:rsidR="008D3C88" w:rsidRDefault="00CE469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12" w:history="1">
        <w:r w:rsidR="008D3C88" w:rsidRPr="00FE5AFE">
          <w:rPr>
            <w:rStyle w:val="Hyperlink"/>
            <w:noProof/>
          </w:rPr>
          <w:t>D.1.2</w:t>
        </w:r>
        <w:r w:rsidR="008D3C8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Obecné požadavky na PLC: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_Toc55308212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4</w:t>
        </w:r>
        <w:r w:rsidR="008D3C88">
          <w:rPr>
            <w:noProof/>
            <w:webHidden/>
          </w:rPr>
          <w:fldChar w:fldCharType="end"/>
        </w:r>
      </w:hyperlink>
    </w:p>
    <w:p w14:paraId="29302F2B" w14:textId="2BDA31D3" w:rsidR="008D3C88" w:rsidRDefault="00CE4693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13" w:history="1">
        <w:r w:rsidR="008D3C88" w:rsidRPr="00FE5AFE">
          <w:rPr>
            <w:rStyle w:val="Hyperlink"/>
            <w:noProof/>
          </w:rPr>
          <w:t>D.2</w:t>
        </w:r>
        <w:r w:rsidR="008D3C8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Základní parametry skříňového rozvaděče pro PS 02.05.02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_Toc55308213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4</w:t>
        </w:r>
        <w:r w:rsidR="008D3C88">
          <w:rPr>
            <w:noProof/>
            <w:webHidden/>
          </w:rPr>
          <w:fldChar w:fldCharType="end"/>
        </w:r>
      </w:hyperlink>
    </w:p>
    <w:p w14:paraId="388E5818" w14:textId="27C9E7B5" w:rsidR="008D3C88" w:rsidRDefault="00CE469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14" w:history="1">
        <w:r w:rsidR="008D3C88" w:rsidRPr="00FE5AFE">
          <w:rPr>
            <w:rStyle w:val="Hyperlink"/>
            <w:noProof/>
          </w:rPr>
          <w:t>D.2.1</w:t>
        </w:r>
        <w:r w:rsidR="008D3C8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Výbava rozvaděče: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_Toc55308214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5</w:t>
        </w:r>
        <w:r w:rsidR="008D3C88">
          <w:rPr>
            <w:noProof/>
            <w:webHidden/>
          </w:rPr>
          <w:fldChar w:fldCharType="end"/>
        </w:r>
      </w:hyperlink>
    </w:p>
    <w:p w14:paraId="47D65188" w14:textId="65932DFC" w:rsidR="008D3C88" w:rsidRDefault="00CE469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15" w:history="1">
        <w:r w:rsidR="008D3C88" w:rsidRPr="00FE5AFE">
          <w:rPr>
            <w:rStyle w:val="Hyperlink"/>
            <w:noProof/>
          </w:rPr>
          <w:t>D.2.2</w:t>
        </w:r>
        <w:r w:rsidR="008D3C8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D3C88" w:rsidRPr="00FE5AFE">
          <w:rPr>
            <w:rStyle w:val="Hyperlink"/>
            <w:noProof/>
          </w:rPr>
          <w:t>UPS kabinet:</w:t>
        </w:r>
        <w:r w:rsidR="008D3C88">
          <w:rPr>
            <w:noProof/>
            <w:webHidden/>
          </w:rPr>
          <w:tab/>
        </w:r>
        <w:r w:rsidR="008D3C88">
          <w:rPr>
            <w:noProof/>
            <w:webHidden/>
          </w:rPr>
          <w:fldChar w:fldCharType="begin"/>
        </w:r>
        <w:r w:rsidR="008D3C88">
          <w:rPr>
            <w:noProof/>
            <w:webHidden/>
          </w:rPr>
          <w:instrText xml:space="preserve"> PAGEREF _Toc55308215 \h </w:instrText>
        </w:r>
        <w:r w:rsidR="008D3C88">
          <w:rPr>
            <w:noProof/>
            <w:webHidden/>
          </w:rPr>
        </w:r>
        <w:r w:rsidR="008D3C88">
          <w:rPr>
            <w:noProof/>
            <w:webHidden/>
          </w:rPr>
          <w:fldChar w:fldCharType="separate"/>
        </w:r>
        <w:r w:rsidR="008D3C88">
          <w:rPr>
            <w:noProof/>
            <w:webHidden/>
          </w:rPr>
          <w:t>5</w:t>
        </w:r>
        <w:r w:rsidR="008D3C88">
          <w:rPr>
            <w:noProof/>
            <w:webHidden/>
          </w:rPr>
          <w:fldChar w:fldCharType="end"/>
        </w:r>
      </w:hyperlink>
    </w:p>
    <w:p w14:paraId="60BDC1CC" w14:textId="0402ACD2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8210"/>
      <w:bookmarkStart w:id="3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bookmarkEnd w:id="2"/>
      <w:proofErr w:type="spellEnd"/>
    </w:p>
    <w:p w14:paraId="56E78EC3" w14:textId="4DA3B482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7C3CC3" w:rsidRPr="009274BC">
        <w:rPr>
          <w:color w:val="000000" w:themeColor="text1"/>
        </w:rPr>
        <w:t>121 v 1NP.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C84E73" w:rsidRPr="00C84E73">
        <w:t xml:space="preserve"> </w:t>
      </w:r>
      <w:r w:rsidR="00C84E73" w:rsidRPr="00C84E73">
        <w:rPr>
          <w:color w:val="000000" w:themeColor="text1"/>
        </w:rPr>
        <w:t xml:space="preserve">Plasma, malá pyrolýza, </w:t>
      </w:r>
      <w:proofErr w:type="spellStart"/>
      <w:r w:rsidR="00C84E73" w:rsidRPr="00C84E73">
        <w:rPr>
          <w:color w:val="000000" w:themeColor="text1"/>
        </w:rPr>
        <w:t>dopalovací</w:t>
      </w:r>
      <w:proofErr w:type="spellEnd"/>
      <w:r w:rsidR="00C84E73" w:rsidRPr="00C84E73">
        <w:rPr>
          <w:color w:val="000000" w:themeColor="text1"/>
        </w:rPr>
        <w:t xml:space="preserve"> komora</w:t>
      </w:r>
      <w:r w:rsidR="005C2884" w:rsidRPr="009274BC">
        <w:rPr>
          <w:color w:val="000000" w:themeColor="text1"/>
        </w:rPr>
        <w:t>“, provozní soubor PS 02.0</w:t>
      </w:r>
      <w:r w:rsidR="009274BC" w:rsidRPr="009274BC">
        <w:rPr>
          <w:color w:val="000000" w:themeColor="text1"/>
        </w:rPr>
        <w:t>5</w:t>
      </w:r>
      <w:r w:rsidR="00064C60" w:rsidRPr="009274BC">
        <w:rPr>
          <w:color w:val="000000" w:themeColor="text1"/>
        </w:rPr>
        <w:t xml:space="preserve">.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0A45A6C1" w14:textId="3CAB4069" w:rsidR="00E8645B" w:rsidRPr="007C3CC3" w:rsidRDefault="00E8645B" w:rsidP="00E8645B">
      <w:pPr>
        <w:keepNext/>
        <w:tabs>
          <w:tab w:val="left" w:pos="3969"/>
        </w:tabs>
        <w:suppressAutoHyphens w:val="0"/>
        <w:jc w:val="center"/>
      </w:pPr>
    </w:p>
    <w:p w14:paraId="70045242" w14:textId="5E2869F9" w:rsidR="0013034E" w:rsidRPr="006B71B1" w:rsidRDefault="0013034E" w:rsidP="006B71B1">
      <w:pPr>
        <w:pStyle w:val="Heading8"/>
        <w:ind w:left="340" w:hanging="340"/>
      </w:pPr>
      <w:bookmarkStart w:id="4" w:name="_Toc55308211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7CF5D0A7" w14:textId="1E18CEB6" w:rsidR="006B71B1" w:rsidRPr="006B71B1" w:rsidRDefault="006B71B1" w:rsidP="006B71B1">
      <w:pPr>
        <w:pStyle w:val="Heading8"/>
        <w:ind w:left="340" w:hanging="340"/>
      </w:pPr>
      <w:bookmarkStart w:id="5" w:name="_Toc55308212"/>
      <w:r w:rsidRPr="006B71B1">
        <w:t>Obecné požadavky na PLC:</w:t>
      </w:r>
      <w:bookmarkEnd w:id="5"/>
    </w:p>
    <w:p w14:paraId="38BEDF1B" w14:textId="77777777" w:rsidR="006B71B1" w:rsidRPr="006B71B1" w:rsidRDefault="006B71B1" w:rsidP="006B71B1">
      <w:pPr>
        <w:rPr>
          <w:b/>
          <w:bCs/>
        </w:rPr>
      </w:pPr>
    </w:p>
    <w:p w14:paraId="7D529152" w14:textId="14B0172D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</w:t>
      </w:r>
      <w:r w:rsidRPr="006B71B1">
        <w:rPr>
          <w:szCs w:val="20"/>
        </w:rPr>
        <w:t xml:space="preserve">odpora tzv. vzdálených distribuovaných V/V (vstupu/výstupů), karty musí podporovat obvyklý průmyslový standard pro jednotlivých el. </w:t>
      </w:r>
      <w:proofErr w:type="gramStart"/>
      <w:r w:rsidRPr="006B71B1">
        <w:rPr>
          <w:szCs w:val="20"/>
        </w:rPr>
        <w:t>rozhraní</w:t>
      </w:r>
      <w:proofErr w:type="gramEnd"/>
      <w:r w:rsidRPr="006B71B1">
        <w:rPr>
          <w:szCs w:val="20"/>
        </w:rPr>
        <w:t xml:space="preserve"> dle typu signálu: DI, DO - 24VDC, 230VAC; AI, AO, - 4-20mA, 0-10V, 2,3 - </w:t>
      </w:r>
      <w:proofErr w:type="spellStart"/>
      <w:r w:rsidRPr="006B71B1">
        <w:rPr>
          <w:szCs w:val="20"/>
        </w:rPr>
        <w:t>vodičové</w:t>
      </w:r>
      <w:proofErr w:type="spellEnd"/>
      <w:r w:rsidRPr="006B71B1">
        <w:rPr>
          <w:szCs w:val="20"/>
        </w:rPr>
        <w:t xml:space="preserve"> zapojení; RTD - teplotní články</w:t>
      </w:r>
    </w:p>
    <w:p w14:paraId="639E0454" w14:textId="369C5E21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počet zpracovávaných signálů </w:t>
      </w:r>
      <w:r>
        <w:rPr>
          <w:szCs w:val="20"/>
        </w:rPr>
        <w:t xml:space="preserve">cca </w:t>
      </w:r>
      <w:r w:rsidRPr="006B71B1">
        <w:rPr>
          <w:szCs w:val="20"/>
        </w:rPr>
        <w:t>250 až 1000.</w:t>
      </w:r>
    </w:p>
    <w:p w14:paraId="4018E900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podpora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slouží k připojení senzorů a akčních členů ke kontroléru. Sběrnice </w:t>
      </w:r>
      <w:proofErr w:type="spellStart"/>
      <w:r w:rsidRPr="006B71B1">
        <w:rPr>
          <w:szCs w:val="20"/>
        </w:rPr>
        <w:t>fieldbus</w:t>
      </w:r>
      <w:proofErr w:type="spellEnd"/>
      <w:r w:rsidRPr="006B71B1">
        <w:rPr>
          <w:szCs w:val="20"/>
        </w:rPr>
        <w:t xml:space="preserve"> také umožňují redundantní zapojení komunikace přes průmyslové protokoly (</w:t>
      </w:r>
      <w:proofErr w:type="spellStart"/>
      <w:r w:rsidRPr="006B71B1">
        <w:rPr>
          <w:szCs w:val="20"/>
        </w:rPr>
        <w:t>Profibus</w:t>
      </w:r>
      <w:proofErr w:type="spellEnd"/>
      <w:r w:rsidRPr="006B71B1">
        <w:rPr>
          <w:szCs w:val="20"/>
        </w:rPr>
        <w:t xml:space="preserve">, </w:t>
      </w:r>
      <w:proofErr w:type="spellStart"/>
      <w:r w:rsidRPr="006B71B1">
        <w:rPr>
          <w:szCs w:val="20"/>
        </w:rPr>
        <w:t>Modbus</w:t>
      </w:r>
      <w:proofErr w:type="spellEnd"/>
      <w:r w:rsidRPr="006B71B1">
        <w:rPr>
          <w:szCs w:val="20"/>
        </w:rPr>
        <w:t xml:space="preserve"> TCP/IP, RTU, </w:t>
      </w:r>
      <w:proofErr w:type="spellStart"/>
      <w:r w:rsidRPr="006B71B1">
        <w:rPr>
          <w:szCs w:val="20"/>
        </w:rPr>
        <w:t>Profinet</w:t>
      </w:r>
      <w:proofErr w:type="spellEnd"/>
      <w:r w:rsidRPr="006B71B1">
        <w:rPr>
          <w:szCs w:val="20"/>
        </w:rPr>
        <w:t>, IEC61850 a jiné).</w:t>
      </w:r>
    </w:p>
    <w:p w14:paraId="16AF80B7" w14:textId="77777777" w:rsidR="006B71B1" w:rsidRPr="006B71B1" w:rsidRDefault="006B71B1" w:rsidP="006B71B1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6B71B1">
        <w:rPr>
          <w:szCs w:val="20"/>
        </w:rPr>
        <w:t xml:space="preserve">Procesní řídicí aplikace naprogramovaná a kód vykonávaný v PLC bude dle standardu PLC programovacích jazyků IEC 61131-3.  </w:t>
      </w:r>
    </w:p>
    <w:p w14:paraId="722CC818" w14:textId="77777777" w:rsidR="006B71B1" w:rsidRP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067F1E35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bookmarkStart w:id="6" w:name="_Toc55308213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</w:t>
      </w:r>
      <w:proofErr w:type="gramStart"/>
      <w:r w:rsidR="005008EB" w:rsidRPr="009274BC">
        <w:rPr>
          <w:color w:val="000000" w:themeColor="text1"/>
        </w:rPr>
        <w:t>02.0</w:t>
      </w:r>
      <w:r w:rsidR="009274BC" w:rsidRPr="009274BC">
        <w:rPr>
          <w:color w:val="000000" w:themeColor="text1"/>
        </w:rPr>
        <w:t>5</w:t>
      </w:r>
      <w:r w:rsidR="005008EB" w:rsidRPr="009274BC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C84E73">
        <w:rPr>
          <w:color w:val="000000" w:themeColor="text1"/>
        </w:rPr>
        <w:t>2</w:t>
      </w:r>
      <w:bookmarkEnd w:id="6"/>
      <w:proofErr w:type="gramEnd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5E8737A1" w:rsidR="005008EB" w:rsidRPr="005008EB" w:rsidRDefault="005008EB" w:rsidP="005008EB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C84E73" w:rsidRPr="00C84E73">
        <w:t xml:space="preserve">Plasma, malá pyrolýza, </w:t>
      </w:r>
      <w:proofErr w:type="spellStart"/>
      <w:r w:rsidR="00C84E73" w:rsidRPr="00C84E73">
        <w:t>dopalovací</w:t>
      </w:r>
      <w:proofErr w:type="spellEnd"/>
      <w:r w:rsidR="00C84E73" w:rsidRPr="00C84E73">
        <w:t xml:space="preserve"> komora</w:t>
      </w:r>
      <w:r w:rsidR="00C84E73">
        <w:t xml:space="preserve"> </w:t>
      </w:r>
      <w:r>
        <w:t>j</w:t>
      </w:r>
      <w:r w:rsidR="009274BC">
        <w:t>sou použity tři</w:t>
      </w:r>
      <w:r w:rsidRPr="00062D7D">
        <w:rPr>
          <w:color w:val="FF0000"/>
        </w:rPr>
        <w:t xml:space="preserve"> </w:t>
      </w:r>
      <w:r w:rsidR="008C535F">
        <w:t>skříňov</w:t>
      </w:r>
      <w:r w:rsidR="009274BC">
        <w:t>é</w:t>
      </w:r>
      <w:r w:rsidR="008C535F">
        <w:t xml:space="preserve"> </w:t>
      </w:r>
      <w:r>
        <w:t>rozvaděč</w:t>
      </w:r>
      <w:r w:rsidR="009274BC">
        <w:t>e</w:t>
      </w:r>
      <w:r w:rsidR="008C535F"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01046A48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proofErr w:type="spellStart"/>
      <w:r w:rsidR="009274BC" w:rsidRPr="009274BC">
        <w:rPr>
          <w:rFonts w:cs="Times New Roman"/>
          <w:color w:val="000000" w:themeColor="text1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4B84DD6" w14:textId="2D8EB680" w:rsidR="002E5563" w:rsidRDefault="002E5563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bookmarkStart w:id="7" w:name="_Toc55308214"/>
      <w:r w:rsidRPr="00914855">
        <w:t>Výbava rozvaděče:</w:t>
      </w:r>
      <w:bookmarkEnd w:id="7"/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0FD87B1A" w14:textId="0306457C" w:rsidR="00497292" w:rsidRDefault="00D859DD" w:rsidP="006B71B1">
      <w:pPr>
        <w:keepNext/>
        <w:tabs>
          <w:tab w:val="left" w:pos="3969"/>
        </w:tabs>
        <w:suppressAutoHyphens w:val="0"/>
        <w:jc w:val="both"/>
      </w:pPr>
      <w:r>
        <w:t>Všechny tři r</w:t>
      </w:r>
      <w:r w:rsidR="00914855" w:rsidRPr="00914855">
        <w:t>ozvaděč</w:t>
      </w:r>
      <w:r>
        <w:t>e</w:t>
      </w:r>
      <w:r w:rsidR="00914855" w:rsidRPr="00914855">
        <w:t xml:space="preserve"> </w:t>
      </w:r>
      <w:r w:rsidR="00914855">
        <w:t>bud</w:t>
      </w:r>
      <w:r>
        <w:t>ou</w:t>
      </w:r>
      <w:r w:rsidR="00914855">
        <w:t xml:space="preserve"> vybaven</w:t>
      </w:r>
      <w:r>
        <w:t>y</w:t>
      </w:r>
      <w:r w:rsidR="00914855">
        <w:t xml:space="preserve"> tak, aby </w:t>
      </w:r>
      <w:r>
        <w:t xml:space="preserve">dohromady </w:t>
      </w:r>
      <w:r w:rsidR="00914855">
        <w:t>zajistil</w:t>
      </w:r>
      <w:r>
        <w:t>i</w:t>
      </w:r>
      <w:r w:rsidR="00914855">
        <w:t xml:space="preserve"> funkcionalitu</w:t>
      </w:r>
      <w:r w:rsidR="00EA6AFC">
        <w:t>,</w:t>
      </w:r>
      <w:r w:rsidR="00914855">
        <w:t xml:space="preserve"> viz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531F331A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CF6CA1">
        <w:t>10</w:t>
      </w:r>
      <w:r>
        <w:t xml:space="preserve">x 400V spotřebičů o maximálním výkonu </w:t>
      </w:r>
      <w:r w:rsidR="002E5563">
        <w:t>5</w:t>
      </w:r>
      <w:r>
        <w:t>k</w:t>
      </w:r>
      <w:r w:rsidR="00E00A4C">
        <w:t>W</w:t>
      </w:r>
    </w:p>
    <w:p w14:paraId="5716081D" w14:textId="50F75EBA" w:rsidR="002E5563" w:rsidRDefault="002E5563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DC539D">
        <w:t>4</w:t>
      </w:r>
      <w:r>
        <w:t xml:space="preserve">x 400V spotřebičů o maximálním výkonu </w:t>
      </w:r>
      <w:r w:rsidR="00CF6CA1">
        <w:t>15</w:t>
      </w:r>
      <w:r>
        <w:t>k</w:t>
      </w:r>
      <w:r w:rsidR="00E00A4C">
        <w:t>W</w:t>
      </w:r>
    </w:p>
    <w:p w14:paraId="27BB8221" w14:textId="5BD73AD7" w:rsidR="00CF6CA1" w:rsidRDefault="00CF6CA1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1x 400V spotřebičů o maximálním výkonu 30k</w:t>
      </w:r>
      <w:r w:rsidR="00E00A4C">
        <w:t>W</w:t>
      </w:r>
    </w:p>
    <w:p w14:paraId="3485CA9D" w14:textId="2F9FDB49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CF6CA1">
        <w:t>2</w:t>
      </w:r>
      <w:r>
        <w:t>x 230V spotřebičů o maximálním výkonu 2</w:t>
      </w:r>
      <w:r w:rsidR="002E5563">
        <w:t>50</w:t>
      </w:r>
      <w:r>
        <w:t>W</w:t>
      </w:r>
    </w:p>
    <w:p w14:paraId="4559512F" w14:textId="079ABAC5" w:rsidR="00303356" w:rsidRDefault="00303356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400V zásuvek</w:t>
      </w:r>
    </w:p>
    <w:p w14:paraId="6F7DCEFF" w14:textId="5CF42CB0" w:rsidR="008B7A6D" w:rsidRDefault="008B7A6D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3F91B1BA" w14:textId="46242B67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Zprostředkování cca 1</w:t>
      </w:r>
      <w:r w:rsidR="00303356">
        <w:t>70</w:t>
      </w:r>
      <w:r>
        <w:t xml:space="preserve"> DI (Digital input)</w:t>
      </w:r>
    </w:p>
    <w:p w14:paraId="02BEF77D" w14:textId="37085D31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9274BC">
        <w:t>75</w:t>
      </w:r>
      <w:r>
        <w:t xml:space="preserve"> DO (Digital output)</w:t>
      </w:r>
    </w:p>
    <w:p w14:paraId="21D3E60B" w14:textId="02D1B648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9274BC">
        <w:t>160</w:t>
      </w:r>
      <w:r>
        <w:t xml:space="preserve"> AI (analog input)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3EB5A06D" w14:textId="77777777" w:rsidR="00CF6CA1" w:rsidRDefault="00CF6CA1" w:rsidP="00914855">
      <w:pPr>
        <w:tabs>
          <w:tab w:val="left" w:pos="3969"/>
        </w:tabs>
        <w:suppressAutoHyphens w:val="0"/>
        <w:jc w:val="both"/>
      </w:pPr>
    </w:p>
    <w:p w14:paraId="54582E94" w14:textId="7BA621CA" w:rsidR="00914855" w:rsidRDefault="008B7A6D" w:rsidP="00914855">
      <w:pPr>
        <w:tabs>
          <w:tab w:val="left" w:pos="3969"/>
        </w:tabs>
        <w:suppressAutoHyphens w:val="0"/>
        <w:jc w:val="both"/>
      </w:pPr>
      <w:r>
        <w:t>Ve výše uvedených položkách je již zahrnuta plánovaná rezerva.</w:t>
      </w:r>
      <w:bookmarkEnd w:id="0"/>
    </w:p>
    <w:p w14:paraId="2B2B81FC" w14:textId="2EFDE6F5" w:rsidR="00CF6CA1" w:rsidRDefault="00CF6CA1" w:rsidP="00914855">
      <w:pPr>
        <w:tabs>
          <w:tab w:val="left" w:pos="3969"/>
        </w:tabs>
        <w:suppressAutoHyphens w:val="0"/>
        <w:jc w:val="both"/>
      </w:pPr>
    </w:p>
    <w:p w14:paraId="5D921267" w14:textId="3AE8C862" w:rsidR="00CF6CA1" w:rsidRDefault="00CF6CA1" w:rsidP="00914855">
      <w:pPr>
        <w:tabs>
          <w:tab w:val="left" w:pos="3969"/>
        </w:tabs>
        <w:suppressAutoHyphens w:val="0"/>
        <w:jc w:val="both"/>
      </w:pPr>
      <w:r>
        <w:t>Jeden ze tří rozvaděčů bude také obsahovat průmyslový PLC</w:t>
      </w:r>
      <w:r w:rsidR="00E00A4C">
        <w:t xml:space="preserve"> s komunikačními kartami</w:t>
      </w:r>
      <w:r>
        <w:t xml:space="preserve">. Tento kontrolér nebude řídit jen proces Plazmového zplyňování </w:t>
      </w:r>
      <w:r w:rsidR="007378F0">
        <w:t xml:space="preserve">a technologii </w:t>
      </w:r>
      <w:proofErr w:type="spellStart"/>
      <w:r w:rsidR="007378F0">
        <w:t>dopalovací</w:t>
      </w:r>
      <w:proofErr w:type="spellEnd"/>
      <w:r w:rsidR="007378F0">
        <w:t xml:space="preserve"> komory </w:t>
      </w:r>
      <w:r>
        <w:t xml:space="preserve">v rámci tohoto provozního souboru, ale přes vzdálené V/V karty a napojení přes komunikační karty </w:t>
      </w:r>
      <w:r w:rsidR="007378F0">
        <w:t>bude také:</w:t>
      </w:r>
    </w:p>
    <w:p w14:paraId="48727870" w14:textId="6A8341F1" w:rsidR="007378F0" w:rsidRDefault="007378F0" w:rsidP="00914855">
      <w:pPr>
        <w:tabs>
          <w:tab w:val="left" w:pos="3969"/>
        </w:tabs>
        <w:suppressAutoHyphens w:val="0"/>
        <w:jc w:val="both"/>
      </w:pPr>
    </w:p>
    <w:p w14:paraId="4885B1E9" w14:textId="6604DACA" w:rsidR="007378F0" w:rsidRDefault="007378F0" w:rsidP="007378F0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Řídit technologii ORC v rámci provozního souboru PS 02.15</w:t>
      </w:r>
    </w:p>
    <w:p w14:paraId="634A666D" w14:textId="09F30EE4" w:rsidR="007378F0" w:rsidRDefault="007378F0" w:rsidP="00A50FB3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Integrovat do DCS vizualizaci a ovládání kompresor</w:t>
      </w:r>
      <w:r w:rsidR="00A50FB3">
        <w:t>u</w:t>
      </w:r>
      <w:r>
        <w:t xml:space="preserve"> 100kW</w:t>
      </w:r>
      <w:r w:rsidR="00A50FB3">
        <w:t xml:space="preserve"> (</w:t>
      </w:r>
      <w:r>
        <w:t>vlastní lokální PLC), provozní soubor PS 02.15</w:t>
      </w:r>
    </w:p>
    <w:p w14:paraId="7F9E8D0F" w14:textId="0AAC5D15" w:rsidR="007378F0" w:rsidRDefault="007378F0" w:rsidP="007378F0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Integrovat do DCS vizualizaci a ovládání technologie </w:t>
      </w:r>
      <w:proofErr w:type="spellStart"/>
      <w:r>
        <w:t>Stirlingova</w:t>
      </w:r>
      <w:proofErr w:type="spellEnd"/>
      <w:r>
        <w:t xml:space="preserve"> motoru</w:t>
      </w:r>
      <w:r w:rsidR="00C21B39">
        <w:t xml:space="preserve"> (vlastní lokální PLC)</w:t>
      </w:r>
      <w:r>
        <w:t>, provozní soubor PS 02.08</w:t>
      </w:r>
    </w:p>
    <w:p w14:paraId="6AA5E09D" w14:textId="1AAC1DDB" w:rsidR="007378F0" w:rsidRDefault="007378F0" w:rsidP="007378F0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Integrovat do DCS vizualizaci a ovládání technologie testovací kogenerační jednotky 20kW</w:t>
      </w:r>
      <w:r w:rsidR="00C21B39">
        <w:t xml:space="preserve"> (vlastní lokální PLC)</w:t>
      </w:r>
      <w:r>
        <w:t>, provozní soubor PS 02.08</w:t>
      </w:r>
    </w:p>
    <w:p w14:paraId="5872A7CD" w14:textId="0C7D0FC0" w:rsidR="00C21B39" w:rsidRDefault="00C21B39" w:rsidP="00C21B39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Integrovat do DCS vizualizaci technologie testovací </w:t>
      </w:r>
      <w:proofErr w:type="spellStart"/>
      <w:r>
        <w:t>stand</w:t>
      </w:r>
      <w:proofErr w:type="spellEnd"/>
      <w:r>
        <w:t xml:space="preserve"> kotlů, provozní soubor PS 02.04</w:t>
      </w:r>
    </w:p>
    <w:p w14:paraId="34D1F0CC" w14:textId="6DBFA2D0" w:rsidR="00C21B39" w:rsidRDefault="00C21B39" w:rsidP="00C21B39">
      <w:pPr>
        <w:tabs>
          <w:tab w:val="left" w:pos="3969"/>
        </w:tabs>
        <w:suppressAutoHyphens w:val="0"/>
        <w:jc w:val="both"/>
      </w:pPr>
    </w:p>
    <w:p w14:paraId="707D5B0D" w14:textId="77777777" w:rsidR="00DC539D" w:rsidRDefault="00DC539D" w:rsidP="00DC539D">
      <w:pPr>
        <w:pStyle w:val="Heading8"/>
        <w:ind w:left="340" w:hanging="340"/>
      </w:pPr>
      <w:bookmarkStart w:id="8" w:name="_Toc55308215"/>
      <w:r>
        <w:lastRenderedPageBreak/>
        <w:t>UPS</w:t>
      </w:r>
      <w:r w:rsidRPr="00914855">
        <w:t xml:space="preserve"> </w:t>
      </w:r>
      <w:r>
        <w:t>kabinet</w:t>
      </w:r>
      <w:r w:rsidRPr="00914855">
        <w:t>:</w:t>
      </w:r>
      <w:bookmarkEnd w:id="8"/>
    </w:p>
    <w:p w14:paraId="141AEFDF" w14:textId="77777777" w:rsidR="00DC539D" w:rsidRDefault="00DC539D" w:rsidP="00DC539D">
      <w:pPr>
        <w:tabs>
          <w:tab w:val="left" w:pos="3969"/>
        </w:tabs>
        <w:suppressAutoHyphens w:val="0"/>
        <w:jc w:val="both"/>
      </w:pPr>
    </w:p>
    <w:p w14:paraId="6870F216" w14:textId="076C6E88" w:rsidR="00DC539D" w:rsidRDefault="00DC539D" w:rsidP="00DC539D">
      <w:pPr>
        <w:tabs>
          <w:tab w:val="left" w:pos="3969"/>
        </w:tabs>
        <w:suppressAutoHyphens w:val="0"/>
        <w:jc w:val="both"/>
      </w:pPr>
      <w:r>
        <w:t>Součástí tohoto provozního souboru je také UPS kabinet, který bude umístěn v místnosti č. 109 v 1NP a bude zajišťovat nepřerušenou dodávku elektrické energie pro technologii plazmového zplyňování včetně napájení detekce plynů a havarijního větrání. Napájen bude z jednoho ze tří rozvaděčů popsaných v tomto provozním souboru.</w:t>
      </w:r>
    </w:p>
    <w:p w14:paraId="5004190C" w14:textId="77777777" w:rsidR="00DC539D" w:rsidRDefault="00DC539D" w:rsidP="00DC539D">
      <w:pPr>
        <w:tabs>
          <w:tab w:val="left" w:pos="3969"/>
        </w:tabs>
        <w:suppressAutoHyphens w:val="0"/>
        <w:jc w:val="both"/>
      </w:pPr>
    </w:p>
    <w:p w14:paraId="4841C025" w14:textId="77777777" w:rsidR="00DC539D" w:rsidRDefault="00DC539D" w:rsidP="00DC539D">
      <w:pPr>
        <w:tabs>
          <w:tab w:val="left" w:pos="3969"/>
        </w:tabs>
        <w:suppressAutoHyphens w:val="0"/>
        <w:jc w:val="both"/>
      </w:pPr>
      <w:r>
        <w:t xml:space="preserve">Parametry UPS kabinetu budou upřesněny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1D751CAB" w14:textId="77777777" w:rsidR="00DC539D" w:rsidRDefault="00DC539D" w:rsidP="00DC539D">
      <w:pPr>
        <w:tabs>
          <w:tab w:val="left" w:pos="3969"/>
        </w:tabs>
        <w:suppressAutoHyphens w:val="0"/>
        <w:jc w:val="both"/>
      </w:pPr>
    </w:p>
    <w:p w14:paraId="30D97BB4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Typ:</w:t>
      </w:r>
      <w:r>
        <w:tab/>
        <w:t>Modulární</w:t>
      </w:r>
    </w:p>
    <w:p w14:paraId="226B68FB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Umístění baterií:</w:t>
      </w:r>
      <w:r>
        <w:tab/>
        <w:t>v jednom kabinetu s výkonovými moduly</w:t>
      </w:r>
    </w:p>
    <w:p w14:paraId="0DA72EB1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Napětí:</w:t>
      </w:r>
      <w:r>
        <w:tab/>
        <w:t>400V</w:t>
      </w:r>
    </w:p>
    <w:p w14:paraId="61B6F70B" w14:textId="54BC782A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Výkon:</w:t>
      </w:r>
      <w:r>
        <w:tab/>
        <w:t>cca 10kW</w:t>
      </w:r>
    </w:p>
    <w:p w14:paraId="43304A6C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Účinnost:</w:t>
      </w:r>
      <w:r>
        <w:tab/>
        <w:t>cca 96%</w:t>
      </w:r>
    </w:p>
    <w:p w14:paraId="2EA3DA84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Celkové THD zkreslení:</w:t>
      </w:r>
      <w:r>
        <w:tab/>
      </w:r>
      <w:r>
        <w:rPr>
          <w:lang w:val="en-GB"/>
        </w:rPr>
        <w:t xml:space="preserve">&lt; </w:t>
      </w:r>
      <w:proofErr w:type="spellStart"/>
      <w:r>
        <w:rPr>
          <w:lang w:val="en-GB"/>
        </w:rPr>
        <w:t>cca</w:t>
      </w:r>
      <w:proofErr w:type="spellEnd"/>
      <w:r>
        <w:rPr>
          <w:lang w:val="en-GB"/>
        </w:rPr>
        <w:t xml:space="preserve"> 2%</w:t>
      </w:r>
    </w:p>
    <w:p w14:paraId="5F02C627" w14:textId="77777777" w:rsidR="00DC539D" w:rsidRDefault="00DC539D" w:rsidP="00DC539D">
      <w:pPr>
        <w:pStyle w:val="ListParagraph"/>
        <w:numPr>
          <w:ilvl w:val="0"/>
          <w:numId w:val="19"/>
        </w:numPr>
        <w:tabs>
          <w:tab w:val="left" w:pos="3119"/>
        </w:tabs>
        <w:suppressAutoHyphens w:val="0"/>
        <w:jc w:val="both"/>
      </w:pPr>
      <w:r>
        <w:t>Doba zálohy:</w:t>
      </w:r>
      <w:r>
        <w:tab/>
        <w:t>minimum 15 min</w:t>
      </w:r>
    </w:p>
    <w:p w14:paraId="6BD5EA6A" w14:textId="77777777" w:rsidR="00C21B39" w:rsidRDefault="00C21B39" w:rsidP="00C21B39">
      <w:pPr>
        <w:tabs>
          <w:tab w:val="left" w:pos="3969"/>
        </w:tabs>
        <w:suppressAutoHyphens w:val="0"/>
        <w:jc w:val="both"/>
      </w:pPr>
    </w:p>
    <w:sectPr w:rsidR="00C21B39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88FBB" w14:textId="77777777" w:rsidR="00CE4693" w:rsidRDefault="00CE4693" w:rsidP="00A816AC">
      <w:r>
        <w:separator/>
      </w:r>
    </w:p>
  </w:endnote>
  <w:endnote w:type="continuationSeparator" w:id="0">
    <w:p w14:paraId="344FF214" w14:textId="77777777" w:rsidR="00CE4693" w:rsidRDefault="00CE4693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529D7" w14:textId="77777777" w:rsidR="00CE4693" w:rsidRDefault="00CE4693" w:rsidP="00A816AC">
      <w:r>
        <w:separator/>
      </w:r>
    </w:p>
  </w:footnote>
  <w:footnote w:type="continuationSeparator" w:id="0">
    <w:p w14:paraId="02A97CE7" w14:textId="77777777" w:rsidR="00CE4693" w:rsidRDefault="00CE4693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2D7D"/>
    <w:rsid w:val="00064C60"/>
    <w:rsid w:val="000D4978"/>
    <w:rsid w:val="001128D9"/>
    <w:rsid w:val="0013034E"/>
    <w:rsid w:val="00146FD3"/>
    <w:rsid w:val="0016203D"/>
    <w:rsid w:val="001647F9"/>
    <w:rsid w:val="001C390B"/>
    <w:rsid w:val="001F0D65"/>
    <w:rsid w:val="0020775F"/>
    <w:rsid w:val="002201EA"/>
    <w:rsid w:val="0024620E"/>
    <w:rsid w:val="00246886"/>
    <w:rsid w:val="002E5563"/>
    <w:rsid w:val="00303356"/>
    <w:rsid w:val="00305366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30686"/>
    <w:rsid w:val="00497292"/>
    <w:rsid w:val="004C14AD"/>
    <w:rsid w:val="004C33C7"/>
    <w:rsid w:val="005008EB"/>
    <w:rsid w:val="00590B2C"/>
    <w:rsid w:val="005C2884"/>
    <w:rsid w:val="005E4C18"/>
    <w:rsid w:val="00663BFD"/>
    <w:rsid w:val="00695FB7"/>
    <w:rsid w:val="006A3C22"/>
    <w:rsid w:val="006B71B1"/>
    <w:rsid w:val="007378F0"/>
    <w:rsid w:val="007B42A2"/>
    <w:rsid w:val="007C3CC3"/>
    <w:rsid w:val="007D3A3B"/>
    <w:rsid w:val="007D6B45"/>
    <w:rsid w:val="007E0E41"/>
    <w:rsid w:val="00807804"/>
    <w:rsid w:val="00871949"/>
    <w:rsid w:val="0087501F"/>
    <w:rsid w:val="00885B7C"/>
    <w:rsid w:val="008A29C0"/>
    <w:rsid w:val="008B7A6D"/>
    <w:rsid w:val="008C19FB"/>
    <w:rsid w:val="008C535F"/>
    <w:rsid w:val="008D3C88"/>
    <w:rsid w:val="00903988"/>
    <w:rsid w:val="00914855"/>
    <w:rsid w:val="009274BC"/>
    <w:rsid w:val="009545DC"/>
    <w:rsid w:val="00A216DF"/>
    <w:rsid w:val="00A35A90"/>
    <w:rsid w:val="00A50FB3"/>
    <w:rsid w:val="00A53EA7"/>
    <w:rsid w:val="00A816AC"/>
    <w:rsid w:val="00AD7012"/>
    <w:rsid w:val="00B850E3"/>
    <w:rsid w:val="00C21B39"/>
    <w:rsid w:val="00C23B73"/>
    <w:rsid w:val="00C5315E"/>
    <w:rsid w:val="00C84E73"/>
    <w:rsid w:val="00CA7B63"/>
    <w:rsid w:val="00CB38AE"/>
    <w:rsid w:val="00CD20B9"/>
    <w:rsid w:val="00CE1761"/>
    <w:rsid w:val="00CE4693"/>
    <w:rsid w:val="00CF47CF"/>
    <w:rsid w:val="00CF6CA1"/>
    <w:rsid w:val="00D01812"/>
    <w:rsid w:val="00D222BF"/>
    <w:rsid w:val="00D859DD"/>
    <w:rsid w:val="00DC539D"/>
    <w:rsid w:val="00DF2E50"/>
    <w:rsid w:val="00E00A4C"/>
    <w:rsid w:val="00E2629E"/>
    <w:rsid w:val="00E53AD7"/>
    <w:rsid w:val="00E63DA6"/>
    <w:rsid w:val="00E83D68"/>
    <w:rsid w:val="00E8645B"/>
    <w:rsid w:val="00E926AC"/>
    <w:rsid w:val="00EA6AFC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208B07-7D65-4C3F-8953-363CBFC0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13</cp:revision>
  <cp:lastPrinted>2019-12-19T10:40:00Z</cp:lastPrinted>
  <dcterms:created xsi:type="dcterms:W3CDTF">2020-10-28T17:54:00Z</dcterms:created>
  <dcterms:modified xsi:type="dcterms:W3CDTF">2021-04-09T08:46:00Z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